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2"/>
        <w:rPr>
          <w:rFonts w:hint="eastAsia" w:ascii="宋体" w:hAnsi="宋体" w:eastAsia="宋体" w:cs="宋体"/>
        </w:rPr>
      </w:pPr>
    </w:p>
    <w:p>
      <w:pPr>
        <w:pStyle w:val="12"/>
        <w:rPr>
          <w:rFonts w:hint="eastAsia" w:ascii="宋体" w:hAnsi="宋体" w:eastAsia="宋体" w:cs="宋体"/>
        </w:rPr>
      </w:pPr>
    </w:p>
    <w:p>
      <w:pPr>
        <w:pStyle w:val="7"/>
        <w:rPr>
          <w:rFonts w:hint="eastAsia"/>
        </w:rPr>
      </w:pPr>
      <w:bookmarkStart w:id="0" w:name="_GoBack"/>
      <w:r>
        <w:rPr>
          <w:rFonts w:hint="eastAsia"/>
        </w:rPr>
        <w:t>中华人民共和国最高人民法院</w:t>
      </w:r>
    </w:p>
    <w:p>
      <w:pPr>
        <w:pStyle w:val="7"/>
        <w:rPr>
          <w:rFonts w:hint="eastAsia"/>
        </w:rPr>
      </w:pPr>
      <w:r>
        <w:rPr>
          <w:rFonts w:hint="eastAsia"/>
        </w:rPr>
        <w:t>公</w:t>
      </w:r>
      <w:r>
        <w:rPr>
          <w:rFonts w:hint="eastAsia"/>
          <w:lang w:eastAsia="zh-CN"/>
        </w:rPr>
        <w:t xml:space="preserve">    </w:t>
      </w:r>
      <w:r>
        <w:rPr>
          <w:rFonts w:hint="eastAsia"/>
        </w:rPr>
        <w:t>告</w:t>
      </w:r>
    </w:p>
    <w:bookmarkEnd w:id="0"/>
    <w:p>
      <w:pPr>
        <w:pStyle w:val="12"/>
        <w:rPr>
          <w:rFonts w:hint="eastAsia" w:ascii="宋体" w:hAnsi="宋体" w:eastAsia="宋体" w:cs="宋体"/>
        </w:rPr>
      </w:pPr>
    </w:p>
    <w:p>
      <w:pPr>
        <w:pStyle w:val="12"/>
        <w:rPr>
          <w:rFonts w:hint="eastAsia"/>
        </w:rPr>
      </w:pPr>
      <w:r>
        <w:rPr>
          <w:rFonts w:hint="eastAsia"/>
        </w:rPr>
        <w:t>最高人民法院《关于审理涉及农村土地承包经营纠纷调解仲裁案件适用法律若干问题的解释》已于2013年12月27日由最高人民法院审判委员会第1601次会议通过，现予公布，自2014年1月24日起施行。</w:t>
      </w:r>
    </w:p>
    <w:p>
      <w:pPr>
        <w:pStyle w:val="12"/>
        <w:rPr>
          <w:rFonts w:hint="eastAsia" w:ascii="宋体" w:hAnsi="宋体" w:eastAsia="宋体" w:cs="宋体"/>
        </w:rPr>
      </w:pPr>
    </w:p>
    <w:p>
      <w:pPr>
        <w:pStyle w:val="10"/>
        <w:rPr>
          <w:rFonts w:hint="eastAsia"/>
        </w:rPr>
        <w:sectPr>
          <w:footerReference r:id="rId3" w:type="default"/>
          <w:footerReference r:id="rId4" w:type="even"/>
          <w:pgSz w:w="11906" w:h="16838"/>
          <w:pgMar w:top="2098" w:right="1474" w:bottom="1984" w:left="1587" w:header="851" w:footer="1587" w:gutter="0"/>
          <w:pgNumType w:fmt="decimal" w:start="1"/>
          <w:cols w:space="720" w:num="1"/>
          <w:rtlGutter w:val="0"/>
          <w:docGrid w:type="lines" w:linePitch="312" w:charSpace="0"/>
        </w:sectPr>
      </w:pPr>
      <w:r>
        <w:rPr>
          <w:rFonts w:hint="eastAsia"/>
        </w:rPr>
        <w:t>2014年1月9日</w:t>
      </w:r>
    </w:p>
    <w:p>
      <w:pPr>
        <w:pStyle w:val="12"/>
        <w:rPr>
          <w:rFonts w:hint="eastAsia"/>
        </w:rPr>
      </w:pPr>
    </w:p>
    <w:p>
      <w:pPr>
        <w:pStyle w:val="12"/>
        <w:rPr>
          <w:rFonts w:hint="eastAsia" w:ascii="宋体" w:hAnsi="宋体" w:eastAsia="宋体" w:cs="宋体"/>
        </w:rPr>
      </w:pPr>
    </w:p>
    <w:p>
      <w:pPr>
        <w:pStyle w:val="7"/>
        <w:rPr>
          <w:rFonts w:hint="eastAsia"/>
        </w:rPr>
      </w:pPr>
      <w:r>
        <w:rPr>
          <w:rFonts w:hint="eastAsia"/>
        </w:rPr>
        <w:t>最高人民法院</w:t>
      </w:r>
    </w:p>
    <w:p>
      <w:pPr>
        <w:pStyle w:val="7"/>
        <w:rPr>
          <w:rFonts w:hint="eastAsia"/>
        </w:rPr>
      </w:pPr>
      <w:r>
        <w:rPr>
          <w:rFonts w:hint="eastAsia"/>
        </w:rPr>
        <w:t>关于审理涉及农村土地承包经营纠纷</w:t>
      </w:r>
    </w:p>
    <w:p>
      <w:pPr>
        <w:pStyle w:val="7"/>
        <w:rPr>
          <w:rFonts w:hint="eastAsia"/>
        </w:rPr>
      </w:pPr>
      <w:r>
        <w:rPr>
          <w:rFonts w:hint="eastAsia"/>
        </w:rPr>
        <w:t>调解仲裁案件适用法律若干问题的解释</w:t>
      </w:r>
    </w:p>
    <w:p>
      <w:pPr>
        <w:pStyle w:val="12"/>
        <w:rPr>
          <w:rFonts w:hint="eastAsia" w:ascii="宋体" w:hAnsi="宋体" w:eastAsia="宋体" w:cs="宋体"/>
        </w:rPr>
      </w:pPr>
    </w:p>
    <w:p>
      <w:pPr>
        <w:pStyle w:val="19"/>
        <w:rPr>
          <w:rFonts w:hint="eastAsia"/>
        </w:rPr>
      </w:pPr>
      <w:r>
        <w:rPr>
          <w:rFonts w:hint="eastAsia"/>
        </w:rPr>
        <w:t>法释〔2014〕1号</w:t>
      </w:r>
    </w:p>
    <w:p>
      <w:pPr>
        <w:pStyle w:val="12"/>
        <w:rPr>
          <w:rFonts w:hint="eastAsia" w:ascii="宋体" w:hAnsi="宋体" w:eastAsia="宋体" w:cs="宋体"/>
        </w:rPr>
      </w:pPr>
    </w:p>
    <w:p>
      <w:pPr>
        <w:pStyle w:val="12"/>
        <w:rPr>
          <w:rStyle w:val="25"/>
          <w:rFonts w:hint="eastAsia"/>
        </w:rPr>
      </w:pPr>
      <w:r>
        <w:rPr>
          <w:rFonts w:hint="eastAsia"/>
        </w:rPr>
        <w:t>为正确审理涉及农村土地承包经营纠纷调解仲裁案件，根据《中华人民共和国农村土地承包法》、《中华人民共和国农村土地承包经营纠纷调解仲裁法》、《中华人民共和国民事诉讼法》等法律的规定，结合民事审判实践，就审理涉及农村土地承包经营纠纷调解仲裁案件适用法律的若干问题，制定本解释。</w:t>
      </w:r>
    </w:p>
    <w:p>
      <w:pPr>
        <w:pStyle w:val="12"/>
        <w:rPr>
          <w:rStyle w:val="25"/>
          <w:rFonts w:hint="eastAsia"/>
        </w:rPr>
      </w:pPr>
      <w:r>
        <w:rPr>
          <w:rStyle w:val="25"/>
          <w:rFonts w:hint="eastAsia"/>
        </w:rPr>
        <w:t>第一</w:t>
      </w:r>
      <w:r>
        <w:rPr>
          <w:rStyle w:val="25"/>
          <w:rFonts w:hint="eastAsia"/>
          <w:lang w:eastAsia="zh-CN"/>
        </w:rPr>
        <w:t>条</w:t>
      </w:r>
      <w:r>
        <w:rPr>
          <w:rFonts w:hint="eastAsia"/>
          <w:lang w:eastAsia="zh-CN"/>
        </w:rPr>
        <w:t>　</w:t>
      </w:r>
      <w:r>
        <w:rPr>
          <w:rFonts w:hint="eastAsia"/>
        </w:rPr>
        <w:t>农村土地承包仲裁委员会根据农村土地承包经营纠纷调解仲裁法第十八条规定，以超过申请仲裁的时效期间为由驳回申请后，当事人就同一纠纷提起诉讼的，人民法院应予受理。</w:t>
      </w:r>
    </w:p>
    <w:p>
      <w:pPr>
        <w:pStyle w:val="12"/>
        <w:rPr>
          <w:rStyle w:val="25"/>
          <w:rFonts w:hint="eastAsia"/>
        </w:rPr>
      </w:pPr>
      <w:r>
        <w:rPr>
          <w:rStyle w:val="25"/>
          <w:rFonts w:hint="eastAsia"/>
        </w:rPr>
        <w:t>第二</w:t>
      </w:r>
      <w:r>
        <w:rPr>
          <w:rStyle w:val="25"/>
          <w:rFonts w:hint="eastAsia"/>
          <w:lang w:eastAsia="zh-CN"/>
        </w:rPr>
        <w:t>条</w:t>
      </w:r>
      <w:r>
        <w:rPr>
          <w:rFonts w:hint="eastAsia"/>
          <w:lang w:eastAsia="zh-CN"/>
        </w:rPr>
        <w:t>　</w:t>
      </w:r>
      <w:r>
        <w:rPr>
          <w:rFonts w:hint="eastAsia"/>
        </w:rPr>
        <w:t>当事人在收到农村土地承包仲裁委员会作出的裁决书之日起三十日后或者签收农村土地承包仲裁委员会作出的调解书后，就同一纠纷向人民法院提起诉讼的，裁定不予受理；已经受理的，裁定驳回起诉。</w:t>
      </w:r>
    </w:p>
    <w:p>
      <w:pPr>
        <w:pStyle w:val="12"/>
        <w:rPr>
          <w:rStyle w:val="25"/>
          <w:rFonts w:hint="eastAsia"/>
        </w:rPr>
      </w:pPr>
      <w:r>
        <w:rPr>
          <w:rStyle w:val="25"/>
          <w:rFonts w:hint="eastAsia"/>
        </w:rPr>
        <w:t>第三</w:t>
      </w:r>
      <w:r>
        <w:rPr>
          <w:rStyle w:val="25"/>
          <w:rFonts w:hint="eastAsia"/>
          <w:lang w:eastAsia="zh-CN"/>
        </w:rPr>
        <w:t>条</w:t>
      </w:r>
      <w:r>
        <w:rPr>
          <w:rFonts w:hint="eastAsia"/>
          <w:lang w:eastAsia="zh-CN"/>
        </w:rPr>
        <w:t>　</w:t>
      </w:r>
      <w:r>
        <w:rPr>
          <w:rFonts w:hint="eastAsia"/>
        </w:rPr>
        <w:t>当事人在收到农村土地承包仲裁委员会作出的裁决书之日起三十日内，向人民法院提起诉讼，请求撤销仲裁裁决的，人民法院应当告知当事人就原纠纷提起诉讼。</w:t>
      </w:r>
    </w:p>
    <w:p>
      <w:pPr>
        <w:pStyle w:val="12"/>
        <w:rPr>
          <w:rFonts w:hint="eastAsia"/>
        </w:rPr>
      </w:pPr>
      <w:r>
        <w:rPr>
          <w:rStyle w:val="25"/>
          <w:rFonts w:hint="eastAsia"/>
        </w:rPr>
        <w:t>第四</w:t>
      </w:r>
      <w:r>
        <w:rPr>
          <w:rStyle w:val="25"/>
          <w:rFonts w:hint="eastAsia"/>
          <w:lang w:eastAsia="zh-CN"/>
        </w:rPr>
        <w:t>条</w:t>
      </w:r>
      <w:r>
        <w:rPr>
          <w:rFonts w:hint="eastAsia"/>
          <w:lang w:eastAsia="zh-CN"/>
        </w:rPr>
        <w:t>　</w:t>
      </w:r>
      <w:r>
        <w:rPr>
          <w:rFonts w:hint="eastAsia"/>
        </w:rPr>
        <w:t>农村土地承包仲裁委员会依法向人民法院提交当事人财产保全申请的，申请财产保全的当事人为申请人。</w:t>
      </w:r>
    </w:p>
    <w:p>
      <w:pPr>
        <w:pStyle w:val="12"/>
        <w:rPr>
          <w:rFonts w:hint="eastAsia"/>
        </w:rPr>
      </w:pPr>
      <w:r>
        <w:rPr>
          <w:rFonts w:hint="eastAsia"/>
        </w:rPr>
        <w:t>农村土地承包仲裁委员会应当提交下列材料：</w:t>
      </w:r>
    </w:p>
    <w:p>
      <w:pPr>
        <w:pStyle w:val="12"/>
        <w:rPr>
          <w:rFonts w:hint="eastAsia"/>
        </w:rPr>
      </w:pPr>
      <w:r>
        <w:rPr>
          <w:rFonts w:hint="eastAsia"/>
        </w:rPr>
        <w:t>（一）财产保全申请书；</w:t>
      </w:r>
    </w:p>
    <w:p>
      <w:pPr>
        <w:pStyle w:val="12"/>
        <w:rPr>
          <w:rFonts w:hint="eastAsia"/>
        </w:rPr>
      </w:pPr>
      <w:r>
        <w:rPr>
          <w:rFonts w:hint="eastAsia"/>
        </w:rPr>
        <w:t>（二）农村土地承包仲裁委员会发出的受理案件通知书；</w:t>
      </w:r>
    </w:p>
    <w:p>
      <w:pPr>
        <w:pStyle w:val="12"/>
        <w:rPr>
          <w:rFonts w:hint="eastAsia"/>
        </w:rPr>
      </w:pPr>
      <w:r>
        <w:rPr>
          <w:rFonts w:hint="eastAsia"/>
        </w:rPr>
        <w:t>（三）申请人的身份证明；</w:t>
      </w:r>
    </w:p>
    <w:p>
      <w:pPr>
        <w:pStyle w:val="12"/>
        <w:rPr>
          <w:rFonts w:hint="eastAsia"/>
        </w:rPr>
      </w:pPr>
      <w:r>
        <w:rPr>
          <w:rFonts w:hint="eastAsia"/>
        </w:rPr>
        <w:t>（四）申请保全财产的具体情况。</w:t>
      </w:r>
    </w:p>
    <w:p>
      <w:pPr>
        <w:pStyle w:val="12"/>
        <w:rPr>
          <w:rStyle w:val="25"/>
          <w:rFonts w:hint="eastAsia"/>
        </w:rPr>
      </w:pPr>
      <w:r>
        <w:rPr>
          <w:rFonts w:hint="eastAsia"/>
        </w:rPr>
        <w:t>人民法院采取保全措施，可以责令申请人提供担保，申请人不提供担保的，裁定驳回申请。</w:t>
      </w:r>
    </w:p>
    <w:p>
      <w:pPr>
        <w:pStyle w:val="12"/>
        <w:rPr>
          <w:rFonts w:hint="eastAsia"/>
        </w:rPr>
      </w:pPr>
      <w:r>
        <w:rPr>
          <w:rStyle w:val="25"/>
          <w:rFonts w:hint="eastAsia"/>
        </w:rPr>
        <w:t>第五</w:t>
      </w:r>
      <w:r>
        <w:rPr>
          <w:rStyle w:val="25"/>
          <w:rFonts w:hint="eastAsia"/>
          <w:lang w:eastAsia="zh-CN"/>
        </w:rPr>
        <w:t>条</w:t>
      </w:r>
      <w:r>
        <w:rPr>
          <w:rFonts w:hint="eastAsia"/>
          <w:lang w:eastAsia="zh-CN"/>
        </w:rPr>
        <w:t>　</w:t>
      </w:r>
      <w:r>
        <w:rPr>
          <w:rFonts w:hint="eastAsia"/>
        </w:rPr>
        <w:t>人民法院对农村土地承包仲裁委员会提交的财产保全申请材料，应当进行审查。符合前条规定的，应予受理；申请材料不齐全或不符合规定的，人民法院应当告知农村土地承包仲裁委员会需要补齐的内容。</w:t>
      </w:r>
    </w:p>
    <w:p>
      <w:pPr>
        <w:pStyle w:val="12"/>
        <w:rPr>
          <w:rStyle w:val="25"/>
          <w:rFonts w:hint="eastAsia"/>
        </w:rPr>
      </w:pPr>
      <w:r>
        <w:rPr>
          <w:rFonts w:hint="eastAsia"/>
        </w:rPr>
        <w:t>人民法院决定受理的，应当于三日内向当事人送达受理通知书并告知农村土地承包仲裁委员会。</w:t>
      </w:r>
    </w:p>
    <w:p>
      <w:pPr>
        <w:pStyle w:val="12"/>
        <w:rPr>
          <w:rFonts w:hint="eastAsia"/>
        </w:rPr>
      </w:pPr>
      <w:r>
        <w:rPr>
          <w:rStyle w:val="25"/>
          <w:rFonts w:hint="eastAsia"/>
        </w:rPr>
        <w:t>第六</w:t>
      </w:r>
      <w:r>
        <w:rPr>
          <w:rStyle w:val="25"/>
          <w:rFonts w:hint="eastAsia"/>
          <w:lang w:eastAsia="zh-CN"/>
        </w:rPr>
        <w:t>条</w:t>
      </w:r>
      <w:r>
        <w:rPr>
          <w:rFonts w:hint="eastAsia"/>
          <w:lang w:eastAsia="zh-CN"/>
        </w:rPr>
        <w:t>　</w:t>
      </w:r>
      <w:r>
        <w:rPr>
          <w:rFonts w:hint="eastAsia"/>
        </w:rPr>
        <w:t>人民法院受理财产保全申请后，应当在十日内作出裁定。因特殊情况需要延长的，经本院院长批准，可以延长五日。</w:t>
      </w:r>
    </w:p>
    <w:p>
      <w:pPr>
        <w:pStyle w:val="12"/>
        <w:rPr>
          <w:rStyle w:val="25"/>
          <w:rFonts w:hint="eastAsia"/>
        </w:rPr>
      </w:pPr>
      <w:r>
        <w:rPr>
          <w:rFonts w:hint="eastAsia"/>
        </w:rPr>
        <w:t>人民法院接受申请后，对情况紧急的，必须在四十八小时内作出裁定；裁定采取保全措施的，应当立即开始执行。</w:t>
      </w:r>
    </w:p>
    <w:p>
      <w:pPr>
        <w:pStyle w:val="12"/>
        <w:rPr>
          <w:rStyle w:val="25"/>
          <w:rFonts w:hint="eastAsia"/>
        </w:rPr>
      </w:pPr>
      <w:r>
        <w:rPr>
          <w:rStyle w:val="25"/>
          <w:rFonts w:hint="eastAsia"/>
        </w:rPr>
        <w:t>第七</w:t>
      </w:r>
      <w:r>
        <w:rPr>
          <w:rStyle w:val="25"/>
          <w:rFonts w:hint="eastAsia"/>
          <w:lang w:eastAsia="zh-CN"/>
        </w:rPr>
        <w:t>条</w:t>
      </w:r>
      <w:r>
        <w:rPr>
          <w:rFonts w:hint="eastAsia"/>
          <w:lang w:eastAsia="zh-CN"/>
        </w:rPr>
        <w:t>　</w:t>
      </w:r>
      <w:r>
        <w:rPr>
          <w:rFonts w:hint="eastAsia"/>
        </w:rPr>
        <w:t>农村土地承包经营纠纷仲裁中采取的财产保全措施，在申请保全的当事人依法提起诉讼后，自动转为诉讼中的财产保全措施，并适用最高人民法院《关于人民法院民事执行中查封、扣押、冻结财产的规定》第二十九条关于查封、扣押、冻结期限的规定。</w:t>
      </w:r>
    </w:p>
    <w:p>
      <w:pPr>
        <w:pStyle w:val="12"/>
        <w:rPr>
          <w:rFonts w:hint="eastAsia"/>
        </w:rPr>
      </w:pPr>
      <w:r>
        <w:rPr>
          <w:rStyle w:val="25"/>
          <w:rFonts w:hint="eastAsia"/>
        </w:rPr>
        <w:t>第八</w:t>
      </w:r>
      <w:r>
        <w:rPr>
          <w:rStyle w:val="25"/>
          <w:rFonts w:hint="eastAsia"/>
          <w:lang w:eastAsia="zh-CN"/>
        </w:rPr>
        <w:t>条</w:t>
      </w:r>
      <w:r>
        <w:rPr>
          <w:rFonts w:hint="eastAsia"/>
          <w:lang w:eastAsia="zh-CN"/>
        </w:rPr>
        <w:t>　</w:t>
      </w:r>
      <w:r>
        <w:rPr>
          <w:rFonts w:hint="eastAsia"/>
        </w:rPr>
        <w:t>农村土地承包仲裁委员会依法向人民法院提交当事人证据保全申请的，应当提供下列材料：</w:t>
      </w:r>
    </w:p>
    <w:p>
      <w:pPr>
        <w:pStyle w:val="12"/>
        <w:rPr>
          <w:rFonts w:hint="eastAsia"/>
        </w:rPr>
      </w:pPr>
      <w:r>
        <w:rPr>
          <w:rFonts w:hint="eastAsia"/>
        </w:rPr>
        <w:t>（一）证据保全申请书；</w:t>
      </w:r>
    </w:p>
    <w:p>
      <w:pPr>
        <w:pStyle w:val="12"/>
        <w:rPr>
          <w:rFonts w:hint="eastAsia"/>
        </w:rPr>
      </w:pPr>
      <w:r>
        <w:rPr>
          <w:rFonts w:hint="eastAsia"/>
        </w:rPr>
        <w:t>（二）农村土地承包仲裁委员会发出的受理案件通知书；</w:t>
      </w:r>
    </w:p>
    <w:p>
      <w:pPr>
        <w:pStyle w:val="12"/>
        <w:rPr>
          <w:rFonts w:hint="eastAsia"/>
        </w:rPr>
      </w:pPr>
      <w:r>
        <w:rPr>
          <w:rFonts w:hint="eastAsia"/>
        </w:rPr>
        <w:t>（三）申请人的身份证明；</w:t>
      </w:r>
    </w:p>
    <w:p>
      <w:pPr>
        <w:pStyle w:val="12"/>
        <w:rPr>
          <w:rFonts w:hint="eastAsia"/>
        </w:rPr>
      </w:pPr>
      <w:r>
        <w:rPr>
          <w:rFonts w:hint="eastAsia"/>
        </w:rPr>
        <w:t>（四）申请保全证据的具体情况。</w:t>
      </w:r>
    </w:p>
    <w:p>
      <w:pPr>
        <w:pStyle w:val="12"/>
        <w:rPr>
          <w:rStyle w:val="25"/>
          <w:rFonts w:hint="eastAsia"/>
        </w:rPr>
      </w:pPr>
      <w:r>
        <w:rPr>
          <w:rFonts w:hint="eastAsia"/>
        </w:rPr>
        <w:t>对证据保全的具体程序事项，适用本解释第五、六、七条关于财产保全的规定。</w:t>
      </w:r>
    </w:p>
    <w:p>
      <w:pPr>
        <w:pStyle w:val="12"/>
        <w:rPr>
          <w:rFonts w:hint="eastAsia"/>
        </w:rPr>
      </w:pPr>
      <w:r>
        <w:rPr>
          <w:rStyle w:val="25"/>
          <w:rFonts w:hint="eastAsia"/>
        </w:rPr>
        <w:t>第九</w:t>
      </w:r>
      <w:r>
        <w:rPr>
          <w:rStyle w:val="25"/>
          <w:rFonts w:hint="eastAsia"/>
          <w:lang w:eastAsia="zh-CN"/>
        </w:rPr>
        <w:t>条</w:t>
      </w:r>
      <w:r>
        <w:rPr>
          <w:rFonts w:hint="eastAsia"/>
          <w:lang w:eastAsia="zh-CN"/>
        </w:rPr>
        <w:t>　</w:t>
      </w:r>
      <w:r>
        <w:rPr>
          <w:rFonts w:hint="eastAsia"/>
        </w:rPr>
        <w:t>农村土地承包仲裁委员会作出先行裁定后，一方当事人依法向被执行人住所地或者被执行的财产所在地基层人民法院申请执行的，人民法院应予受理和执行。</w:t>
      </w:r>
    </w:p>
    <w:p>
      <w:pPr>
        <w:pStyle w:val="12"/>
        <w:rPr>
          <w:rFonts w:hint="eastAsia"/>
        </w:rPr>
      </w:pPr>
      <w:r>
        <w:rPr>
          <w:rFonts w:hint="eastAsia"/>
        </w:rPr>
        <w:t>申请执行先行裁定的，应当提供以下材料：</w:t>
      </w:r>
    </w:p>
    <w:p>
      <w:pPr>
        <w:pStyle w:val="12"/>
        <w:rPr>
          <w:rFonts w:hint="eastAsia"/>
        </w:rPr>
      </w:pPr>
      <w:r>
        <w:rPr>
          <w:rFonts w:hint="eastAsia"/>
        </w:rPr>
        <w:t>（一）申请执行书；</w:t>
      </w:r>
    </w:p>
    <w:p>
      <w:pPr>
        <w:pStyle w:val="12"/>
        <w:rPr>
          <w:rFonts w:hint="eastAsia"/>
        </w:rPr>
      </w:pPr>
      <w:r>
        <w:rPr>
          <w:rFonts w:hint="eastAsia"/>
        </w:rPr>
        <w:t>（二）农村土地承包仲裁委员会作出的先行裁定书；</w:t>
      </w:r>
    </w:p>
    <w:p>
      <w:pPr>
        <w:pStyle w:val="12"/>
        <w:rPr>
          <w:rFonts w:hint="eastAsia"/>
        </w:rPr>
      </w:pPr>
      <w:r>
        <w:rPr>
          <w:rFonts w:hint="eastAsia"/>
        </w:rPr>
        <w:t>（三）申请执行人的身份证明；</w:t>
      </w:r>
    </w:p>
    <w:p>
      <w:pPr>
        <w:pStyle w:val="12"/>
        <w:rPr>
          <w:rFonts w:hint="eastAsia"/>
        </w:rPr>
      </w:pPr>
      <w:r>
        <w:rPr>
          <w:rFonts w:hint="eastAsia"/>
        </w:rPr>
        <w:t>（四）申请执行人提供的担保情况；</w:t>
      </w:r>
    </w:p>
    <w:p>
      <w:pPr>
        <w:pStyle w:val="12"/>
        <w:rPr>
          <w:rStyle w:val="25"/>
          <w:rFonts w:hint="eastAsia"/>
        </w:rPr>
      </w:pPr>
      <w:r>
        <w:rPr>
          <w:rFonts w:hint="eastAsia"/>
        </w:rPr>
        <w:t>（五）其他应当提交的文件或证件。</w:t>
      </w:r>
    </w:p>
    <w:p>
      <w:pPr>
        <w:pStyle w:val="12"/>
        <w:rPr>
          <w:rStyle w:val="25"/>
          <w:rFonts w:hint="eastAsia"/>
        </w:rPr>
      </w:pPr>
      <w:r>
        <w:rPr>
          <w:rStyle w:val="25"/>
          <w:rFonts w:hint="eastAsia"/>
        </w:rPr>
        <w:t>第十</w:t>
      </w:r>
      <w:r>
        <w:rPr>
          <w:rStyle w:val="25"/>
          <w:rFonts w:hint="eastAsia"/>
          <w:lang w:eastAsia="zh-CN"/>
        </w:rPr>
        <w:t>条</w:t>
      </w:r>
      <w:r>
        <w:rPr>
          <w:rFonts w:hint="eastAsia"/>
          <w:lang w:eastAsia="zh-CN"/>
        </w:rPr>
        <w:t>　</w:t>
      </w:r>
      <w:r>
        <w:rPr>
          <w:rFonts w:hint="eastAsia"/>
        </w:rPr>
        <w:t>当事人根据农村土地承包经营纠纷调解仲裁法第四十九条规定，向人民法院申请执行调解书、裁决书，符合最高人民法院《关于人民法院执行工作若干问题的规定（试行）》第十八条规定条件的，人民法院应予受理和执行。</w:t>
      </w:r>
    </w:p>
    <w:p>
      <w:pPr>
        <w:pStyle w:val="12"/>
        <w:rPr>
          <w:rStyle w:val="25"/>
          <w:rFonts w:hint="eastAsia"/>
        </w:rPr>
      </w:pPr>
      <w:r>
        <w:rPr>
          <w:rStyle w:val="25"/>
          <w:rFonts w:hint="eastAsia"/>
        </w:rPr>
        <w:t>第十一</w:t>
      </w:r>
      <w:r>
        <w:rPr>
          <w:rStyle w:val="25"/>
          <w:rFonts w:hint="eastAsia"/>
          <w:lang w:eastAsia="zh-CN"/>
        </w:rPr>
        <w:t>条</w:t>
      </w:r>
      <w:r>
        <w:rPr>
          <w:rFonts w:hint="eastAsia"/>
          <w:lang w:eastAsia="zh-CN"/>
        </w:rPr>
        <w:t>　</w:t>
      </w:r>
      <w:r>
        <w:rPr>
          <w:rFonts w:hint="eastAsia"/>
        </w:rPr>
        <w:t>当事人因不服农村土地承包仲裁委员会作出的仲裁裁决向人民法院提起诉讼的，起诉期从其收到裁决书的次日起计算。</w:t>
      </w:r>
    </w:p>
    <w:p>
      <w:pPr>
        <w:pStyle w:val="12"/>
        <w:rPr>
          <w:rFonts w:hint="eastAsia"/>
        </w:rPr>
      </w:pPr>
      <w:r>
        <w:rPr>
          <w:rStyle w:val="25"/>
          <w:rFonts w:hint="eastAsia"/>
        </w:rPr>
        <w:t>第十二</w:t>
      </w:r>
      <w:r>
        <w:rPr>
          <w:rStyle w:val="25"/>
          <w:rFonts w:hint="eastAsia"/>
          <w:lang w:eastAsia="zh-CN"/>
        </w:rPr>
        <w:t>条</w:t>
      </w:r>
      <w:r>
        <w:rPr>
          <w:rFonts w:hint="eastAsia"/>
          <w:lang w:eastAsia="zh-CN"/>
        </w:rPr>
        <w:t>　</w:t>
      </w:r>
      <w:r>
        <w:rPr>
          <w:rFonts w:hint="eastAsia"/>
        </w:rPr>
        <w:t>本解释施行后，人民法院尚未审结的一审、二审案件适用本解释规定。本解释施行前已经作出生效裁判的案件，本解释施行后依法再审的，不适用本解释规定。</w:t>
      </w:r>
    </w:p>
    <w:sectPr>
      <w:footerReference r:id="rId5" w:type="default"/>
      <w:footerReference r:id="rId6" w:type="even"/>
      <w:pgSz w:w="11906" w:h="16838"/>
      <w:pgMar w:top="2098" w:right="1474" w:bottom="1984" w:left="1587" w:header="851" w:footer="1587" w:gutter="0"/>
      <w:pgNumType w:fmt="decimal" w:start="1"/>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华文楷体">
    <w:panose1 w:val="02010600040101010101"/>
    <w:charset w:val="86"/>
    <w:family w:val="auto"/>
    <w:pitch w:val="default"/>
    <w:sig w:usb0="00000287" w:usb1="080F0000" w:usb2="00000000" w:usb3="00000000" w:csb0="0004009F" w:csb1="DFD7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val="1"/>
  <w:bordersDoNotSurroundFooter w:val="1"/>
  <w:attachedTemplate r:id="rId1"/>
  <w:documentProtection w:enforcement="0"/>
  <w:defaultTabStop w:val="420"/>
  <w:hyphenationZone w:val="360"/>
  <w:evenAndOddHeaders w:val="1"/>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4C900CB"/>
    <w:rsid w:val="00323D76"/>
    <w:rsid w:val="02380A4E"/>
    <w:rsid w:val="02C54CFB"/>
    <w:rsid w:val="042F174E"/>
    <w:rsid w:val="0751543E"/>
    <w:rsid w:val="0BE369DE"/>
    <w:rsid w:val="0F9D48A9"/>
    <w:rsid w:val="0FC66F39"/>
    <w:rsid w:val="135B4974"/>
    <w:rsid w:val="14C900CB"/>
    <w:rsid w:val="18A839B7"/>
    <w:rsid w:val="19EF53F7"/>
    <w:rsid w:val="1C547AC8"/>
    <w:rsid w:val="20194FCD"/>
    <w:rsid w:val="211007F7"/>
    <w:rsid w:val="224D5C1E"/>
    <w:rsid w:val="28B53323"/>
    <w:rsid w:val="2A483D38"/>
    <w:rsid w:val="2A844039"/>
    <w:rsid w:val="2CFE6EE4"/>
    <w:rsid w:val="2D725F92"/>
    <w:rsid w:val="302E782D"/>
    <w:rsid w:val="325C564C"/>
    <w:rsid w:val="36AE6775"/>
    <w:rsid w:val="38787F7C"/>
    <w:rsid w:val="39191BFA"/>
    <w:rsid w:val="3D717517"/>
    <w:rsid w:val="3FBC61B7"/>
    <w:rsid w:val="49353367"/>
    <w:rsid w:val="4AEF215E"/>
    <w:rsid w:val="4DA15956"/>
    <w:rsid w:val="4E7D2A86"/>
    <w:rsid w:val="501B3EB2"/>
    <w:rsid w:val="5027117E"/>
    <w:rsid w:val="56C00D65"/>
    <w:rsid w:val="65586BE5"/>
    <w:rsid w:val="6D800228"/>
    <w:rsid w:val="6DAD6BF0"/>
    <w:rsid w:val="6E1B4105"/>
    <w:rsid w:val="6EB66F23"/>
    <w:rsid w:val="75FA67F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6">
    <w:name w:val="目录"/>
    <w:basedOn w:val="1"/>
    <w:uiPriority w:val="0"/>
    <w:pPr>
      <w:spacing w:line="560" w:lineRule="exact"/>
      <w:jc w:val="center"/>
    </w:pPr>
    <w:rPr>
      <w:rFonts w:ascii="楷体_GB2312" w:hAnsi="楷体_GB2312" w:eastAsia="楷体_GB2312" w:cs="楷体_GB2312"/>
      <w:sz w:val="32"/>
      <w:szCs w:val="32"/>
    </w:rPr>
  </w:style>
  <w:style w:type="paragraph" w:customStyle="1" w:styleId="7">
    <w:name w:val="标题名"/>
    <w:basedOn w:val="1"/>
    <w:uiPriority w:val="0"/>
    <w:pPr>
      <w:spacing w:line="560" w:lineRule="exact"/>
      <w:jc w:val="center"/>
    </w:pPr>
    <w:rPr>
      <w:rFonts w:hint="eastAsia" w:ascii="宋体" w:hAnsi="宋体" w:cs="宋体"/>
      <w:sz w:val="44"/>
      <w:szCs w:val="44"/>
    </w:rPr>
  </w:style>
  <w:style w:type="paragraph" w:customStyle="1" w:styleId="8">
    <w:name w:val="表字居中"/>
    <w:basedOn w:val="1"/>
    <w:qFormat/>
    <w:uiPriority w:val="0"/>
    <w:pPr>
      <w:spacing w:line="560" w:lineRule="exact"/>
      <w:jc w:val="center"/>
    </w:pPr>
    <w:rPr>
      <w:rFonts w:ascii="宋体" w:hAnsi="宋体" w:cs="宋体"/>
      <w:szCs w:val="21"/>
    </w:rPr>
  </w:style>
  <w:style w:type="paragraph" w:customStyle="1" w:styleId="9">
    <w:name w:val="一、"/>
    <w:basedOn w:val="1"/>
    <w:uiPriority w:val="0"/>
    <w:pPr>
      <w:spacing w:line="560" w:lineRule="exact"/>
      <w:ind w:firstLine="420" w:firstLineChars="200"/>
    </w:pPr>
    <w:rPr>
      <w:rFonts w:ascii="黑体" w:hAnsi="黑体" w:eastAsia="黑体" w:cs="黑体"/>
      <w:sz w:val="32"/>
      <w:szCs w:val="32"/>
    </w:rPr>
  </w:style>
  <w:style w:type="paragraph" w:customStyle="1" w:styleId="10">
    <w:name w:val="落款"/>
    <w:basedOn w:val="1"/>
    <w:qFormat/>
    <w:uiPriority w:val="0"/>
    <w:pPr>
      <w:spacing w:line="560" w:lineRule="exact"/>
      <w:ind w:right="630" w:rightChars="300"/>
      <w:jc w:val="right"/>
    </w:pPr>
    <w:rPr>
      <w:rFonts w:ascii="仿宋_GB2312" w:hAnsi="仿宋_GB2312" w:eastAsia="仿宋_GB2312" w:cs="仿宋_GB2312"/>
      <w:sz w:val="32"/>
      <w:szCs w:val="32"/>
    </w:rPr>
  </w:style>
  <w:style w:type="paragraph" w:customStyle="1" w:styleId="11">
    <w:name w:val="附/附件"/>
    <w:basedOn w:val="1"/>
    <w:qFormat/>
    <w:uiPriority w:val="0"/>
    <w:pPr>
      <w:spacing w:line="560" w:lineRule="exact"/>
      <w:jc w:val="left"/>
    </w:pPr>
    <w:rPr>
      <w:rFonts w:ascii="黑体" w:hAnsi="黑体" w:eastAsia="黑体" w:cs="黑体"/>
      <w:sz w:val="32"/>
      <w:szCs w:val="32"/>
    </w:rPr>
  </w:style>
  <w:style w:type="paragraph" w:customStyle="1" w:styleId="12">
    <w:name w:val="正文字体"/>
    <w:basedOn w:val="1"/>
    <w:qFormat/>
    <w:uiPriority w:val="0"/>
    <w:pPr>
      <w:spacing w:line="560" w:lineRule="exact"/>
      <w:ind w:firstLine="640" w:firstLineChars="200"/>
    </w:pPr>
    <w:rPr>
      <w:rFonts w:ascii="仿宋_GB2312" w:hAnsi="仿宋_GB2312" w:eastAsia="仿宋_GB2312" w:cs="仿宋_GB2312"/>
      <w:sz w:val="32"/>
      <w:szCs w:val="32"/>
    </w:rPr>
  </w:style>
  <w:style w:type="paragraph" w:customStyle="1" w:styleId="13">
    <w:name w:val="章"/>
    <w:basedOn w:val="1"/>
    <w:uiPriority w:val="0"/>
    <w:pPr>
      <w:spacing w:line="560" w:lineRule="exact"/>
      <w:jc w:val="center"/>
    </w:pPr>
    <w:rPr>
      <w:rFonts w:ascii="黑体" w:hAnsi="黑体" w:eastAsia="黑体" w:cs="黑体"/>
      <w:sz w:val="32"/>
      <w:szCs w:val="32"/>
    </w:rPr>
  </w:style>
  <w:style w:type="paragraph" w:customStyle="1" w:styleId="14">
    <w:name w:val="（一）"/>
    <w:basedOn w:val="1"/>
    <w:qFormat/>
    <w:uiPriority w:val="0"/>
    <w:pPr>
      <w:spacing w:line="560" w:lineRule="exact"/>
      <w:ind w:firstLine="420" w:firstLineChars="200"/>
    </w:pPr>
    <w:rPr>
      <w:rFonts w:ascii="楷体_GB2312" w:hAnsi="楷体_GB2312" w:eastAsia="楷体_GB2312" w:cs="楷体_GB2312"/>
      <w:sz w:val="32"/>
      <w:szCs w:val="32"/>
    </w:rPr>
  </w:style>
  <w:style w:type="paragraph" w:customStyle="1" w:styleId="15">
    <w:name w:val="表字"/>
    <w:basedOn w:val="1"/>
    <w:uiPriority w:val="0"/>
    <w:pPr>
      <w:spacing w:line="560" w:lineRule="exact"/>
      <w:jc w:val="left"/>
    </w:pPr>
    <w:rPr>
      <w:rFonts w:ascii="宋体" w:hAnsi="宋体" w:cs="宋体"/>
      <w:szCs w:val="21"/>
    </w:rPr>
  </w:style>
  <w:style w:type="paragraph" w:customStyle="1" w:styleId="16">
    <w:name w:val="修改废止公布内容"/>
    <w:basedOn w:val="1"/>
    <w:uiPriority w:val="0"/>
    <w:pPr>
      <w:spacing w:line="560" w:lineRule="exact"/>
      <w:jc w:val="center"/>
    </w:pPr>
    <w:rPr>
      <w:rFonts w:ascii="楷体_GB2312" w:hAnsi="楷体_GB2312" w:eastAsia="楷体_GB2312" w:cs="楷体_GB2312"/>
      <w:sz w:val="32"/>
      <w:szCs w:val="32"/>
    </w:rPr>
  </w:style>
  <w:style w:type="paragraph" w:customStyle="1" w:styleId="17">
    <w:name w:val="正式公布内容"/>
    <w:basedOn w:val="1"/>
    <w:qFormat/>
    <w:uiPriority w:val="0"/>
    <w:pPr>
      <w:spacing w:line="560" w:lineRule="exact"/>
      <w:ind w:left="630" w:leftChars="300" w:right="630" w:rightChars="300" w:firstLine="0" w:firstLineChars="0"/>
    </w:pPr>
    <w:rPr>
      <w:rFonts w:ascii="楷体_GB2312" w:hAnsi="楷体_GB2312" w:eastAsia="楷体_GB2312" w:cs="楷体_GB2312"/>
      <w:sz w:val="32"/>
      <w:szCs w:val="32"/>
    </w:rPr>
  </w:style>
  <w:style w:type="paragraph" w:customStyle="1" w:styleId="18">
    <w:name w:val="目录内容"/>
    <w:basedOn w:val="1"/>
    <w:qFormat/>
    <w:uiPriority w:val="0"/>
    <w:pPr>
      <w:spacing w:line="560" w:lineRule="exact"/>
      <w:jc w:val="left"/>
    </w:pPr>
    <w:rPr>
      <w:rFonts w:ascii="楷体_GB2312" w:hAnsi="楷体_GB2312" w:eastAsia="楷体_GB2312" w:cs="楷体_GB2312"/>
      <w:sz w:val="32"/>
      <w:szCs w:val="32"/>
    </w:rPr>
  </w:style>
  <w:style w:type="paragraph" w:customStyle="1" w:styleId="19">
    <w:name w:val="文号居中"/>
    <w:basedOn w:val="1"/>
    <w:qFormat/>
    <w:uiPriority w:val="0"/>
    <w:pPr>
      <w:spacing w:line="560" w:lineRule="exact"/>
      <w:jc w:val="center"/>
    </w:pPr>
    <w:rPr>
      <w:rFonts w:ascii="楷体_GB2312" w:hAnsi="楷体_GB2312" w:eastAsia="楷体_GB2312" w:cs="楷体_GB2312"/>
      <w:sz w:val="32"/>
      <w:szCs w:val="32"/>
    </w:rPr>
  </w:style>
  <w:style w:type="paragraph" w:customStyle="1" w:styleId="20">
    <w:name w:val="节"/>
    <w:basedOn w:val="1"/>
    <w:qFormat/>
    <w:uiPriority w:val="0"/>
    <w:pPr>
      <w:spacing w:line="560" w:lineRule="exact"/>
      <w:jc w:val="center"/>
    </w:pPr>
    <w:rPr>
      <w:rFonts w:ascii="宋体" w:hAnsi="宋体" w:cs="宋体"/>
      <w:sz w:val="32"/>
      <w:szCs w:val="32"/>
    </w:rPr>
  </w:style>
  <w:style w:type="paragraph" w:customStyle="1" w:styleId="21">
    <w:name w:val="抬头"/>
    <w:basedOn w:val="12"/>
    <w:qFormat/>
    <w:uiPriority w:val="0"/>
    <w:pPr>
      <w:ind w:firstLine="0" w:firstLineChars="0"/>
      <w:jc w:val="left"/>
    </w:pPr>
  </w:style>
  <w:style w:type="paragraph" w:customStyle="1" w:styleId="22">
    <w:name w:val="日期文号"/>
    <w:basedOn w:val="12"/>
    <w:qFormat/>
    <w:uiPriority w:val="0"/>
    <w:pPr>
      <w:ind w:right="1260" w:rightChars="600" w:firstLine="0" w:firstLineChars="0"/>
      <w:jc w:val="right"/>
    </w:pPr>
    <w:rPr>
      <w:rFonts w:ascii="楷体_GB2312" w:hAnsi="楷体_GB2312" w:eastAsia="楷体_GB2312" w:cs="楷体_GB2312"/>
    </w:rPr>
  </w:style>
  <w:style w:type="paragraph" w:customStyle="1" w:styleId="23">
    <w:name w:val="附件1"/>
    <w:basedOn w:val="1"/>
    <w:qFormat/>
    <w:uiPriority w:val="0"/>
    <w:pPr>
      <w:spacing w:line="560" w:lineRule="exact"/>
      <w:jc w:val="left"/>
    </w:pPr>
    <w:rPr>
      <w:rFonts w:ascii="仿宋_GB2312" w:hAnsi="仿宋_GB2312" w:eastAsia="仿宋_GB2312" w:cs="仿宋_GB2312"/>
      <w:sz w:val="32"/>
      <w:szCs w:val="32"/>
    </w:rPr>
  </w:style>
  <w:style w:type="paragraph" w:customStyle="1" w:styleId="24">
    <w:name w:val="表头"/>
    <w:basedOn w:val="1"/>
    <w:qFormat/>
    <w:uiPriority w:val="0"/>
    <w:pPr>
      <w:spacing w:line="560" w:lineRule="exact"/>
      <w:jc w:val="center"/>
    </w:pPr>
    <w:rPr>
      <w:rFonts w:ascii="黑体" w:hAnsi="黑体" w:eastAsia="黑体" w:cs="黑体"/>
      <w:sz w:val="21"/>
      <w:szCs w:val="21"/>
    </w:rPr>
  </w:style>
  <w:style w:type="character" w:customStyle="1" w:styleId="25">
    <w:name w:val="条文"/>
    <w:basedOn w:val="4"/>
    <w:qFormat/>
    <w:uiPriority w:val="0"/>
    <w:rPr>
      <w:rFonts w:ascii="黑体" w:hAnsi="黑体" w:eastAsia="黑体" w:cs="黑体"/>
      <w:sz w:val="32"/>
      <w:szCs w:val="3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Pages>1</Pages>
  <Words>0</Words>
  <Characters>0</Characters>
  <Lines>0</Lines>
  <Paragraphs>0</Paragraphs>
  <ScaleCrop>false</ScaleCrop>
  <LinksUpToDate>false</LinksUpToDate>
  <CharactersWithSpaces>0</CharactersWithSpaces>
  <Application>WPS Office_10.1.0.6930_F1E327BC-269C-435d-A152-05C5408002CA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2017-11-02T12:14:00Z</dcterms:created>
  <dc:creator>Administrator</dc:creator>
  <cp:lastModifiedBy>Administrator</cp:lastModifiedBy>
  <dcterms:modified xsi:type="dcterms:W3CDTF">2017-11-09T14:03:28Z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